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A587A" w14:textId="399BBA77" w:rsidR="000D572F" w:rsidRDefault="00B23AF1">
      <w:pPr>
        <w:rPr>
          <w:b/>
          <w:bCs/>
        </w:rPr>
      </w:pPr>
      <w:r>
        <w:rPr>
          <w:b/>
          <w:bCs/>
        </w:rPr>
        <w:t xml:space="preserve">Impressie van presentatie door neuroloog Suzanne </w:t>
      </w:r>
      <w:proofErr w:type="spellStart"/>
      <w:r>
        <w:rPr>
          <w:b/>
          <w:bCs/>
        </w:rPr>
        <w:t>Hoogers</w:t>
      </w:r>
      <w:proofErr w:type="spellEnd"/>
      <w:r>
        <w:rPr>
          <w:b/>
          <w:bCs/>
        </w:rPr>
        <w:t>, maandag 9 februari 2026</w:t>
      </w:r>
    </w:p>
    <w:p w14:paraId="04C0FBCB" w14:textId="3FB3F8FF" w:rsidR="00B23AF1" w:rsidRDefault="00B23AF1">
      <w:r>
        <w:t xml:space="preserve">Neuroloog Suzanne </w:t>
      </w:r>
      <w:proofErr w:type="spellStart"/>
      <w:r>
        <w:t>Hoogers</w:t>
      </w:r>
      <w:proofErr w:type="spellEnd"/>
      <w:r>
        <w:t xml:space="preserve"> gaat in haar presentatie in op Dementie en het parkinsonisme </w:t>
      </w:r>
      <w:proofErr w:type="spellStart"/>
      <w:r>
        <w:t>Lewie</w:t>
      </w:r>
      <w:proofErr w:type="spellEnd"/>
      <w:r>
        <w:t xml:space="preserve"> Body Dementie (LBD). </w:t>
      </w:r>
    </w:p>
    <w:p w14:paraId="402EA284" w14:textId="77777777" w:rsidR="00B23AF1" w:rsidRDefault="00B23AF1">
      <w:r>
        <w:t xml:space="preserve">Het stellen van de diagnose parkinsonisme is lastig te stellen omdat </w:t>
      </w:r>
      <w:proofErr w:type="spellStart"/>
      <w:r>
        <w:t>biomarkers</w:t>
      </w:r>
      <w:proofErr w:type="spellEnd"/>
      <w:r>
        <w:t xml:space="preserve"> ofwel de specifieke kenmerken van een ziekte vaak ontbreken en ook overeenkomen met andere hersenaandoeningen. Zo hebben mensen met </w:t>
      </w:r>
      <w:proofErr w:type="spellStart"/>
      <w:r>
        <w:t>Lewy</w:t>
      </w:r>
      <w:proofErr w:type="spellEnd"/>
      <w:r>
        <w:t xml:space="preserve"> Body Dementie ook overlap met Alzheimercellen. </w:t>
      </w:r>
    </w:p>
    <w:p w14:paraId="3B22E41F" w14:textId="0C0964F7" w:rsidR="00B23AF1" w:rsidRDefault="00B23AF1">
      <w:r>
        <w:t xml:space="preserve">Zo komen ook verschijnselen als stijfheid en traagheid (als kenmerken van Parkinson) voor.  Aanwijzingen voor LBD daarbij zijn dat deze verschijnselen bij Parkinson in de eerste jaren aan één kant voorkomen terwijl dat bij LBD aan beide kanten is. </w:t>
      </w:r>
      <w:r w:rsidR="00DF42E8">
        <w:t xml:space="preserve">Andere klachten kunnen zijn: duizeligheid bij het opstaan, problemen met plassen, depressie en wanen en af en toe wegraken. </w:t>
      </w:r>
      <w:r>
        <w:t>Mensen met LBD hebben meestal geen last van trillen (</w:t>
      </w:r>
      <w:proofErr w:type="spellStart"/>
      <w:r>
        <w:t>tremoren</w:t>
      </w:r>
      <w:proofErr w:type="spellEnd"/>
      <w:r>
        <w:t>).</w:t>
      </w:r>
    </w:p>
    <w:p w14:paraId="377E04DA" w14:textId="3F22F114" w:rsidR="00501B09" w:rsidRDefault="00501B09">
      <w:r>
        <w:t>Een andere reden waardoor LBD in de praktijk slecht herkend worden door artsen is dat er vaak sprake is van fluctuaties. Patiënten zijn op het ene moment prima en op het andere moment zijn ze slaperig, verward of staren ze. Dat kan kort of lang duren zodat bij een doktersbezoek het niet meteen opvalt. De informatie van de patiënt en zijn mantelzorger/partner zijn dan belangrijk.</w:t>
      </w:r>
    </w:p>
    <w:p w14:paraId="77596BFF" w14:textId="10EB28E4" w:rsidR="00501B09" w:rsidRDefault="00501B09">
      <w:r>
        <w:t>Op basis van onder anderen die informatie komt een neuroloog tot een diagnose. In aanvulling op neurologisch onderzoek, denktesten, scan/beeldvorming van de hersenen en heel soms een ruggenprik als er getwijfeld wordt tussen LBD en Alzheimer.</w:t>
      </w:r>
    </w:p>
    <w:p w14:paraId="3502B406" w14:textId="464FACA3" w:rsidR="00DF42E8" w:rsidRDefault="00DF42E8">
      <w:pPr>
        <w:rPr>
          <w:iCs/>
        </w:rPr>
      </w:pPr>
      <w:r>
        <w:rPr>
          <w:iCs/>
        </w:rPr>
        <w:t xml:space="preserve">Evenals voor Parkinson is er ook bij LBD geen genezing mogelijk. De achteruitgang is progressief. Medicatie, fysiotherapie, logopedie en ergotherapie kunnen verlichting geven van de klachten. Overigens reageren mensen met LBD vaker niet goed op </w:t>
      </w:r>
      <w:proofErr w:type="spellStart"/>
      <w:r>
        <w:rPr>
          <w:iCs/>
        </w:rPr>
        <w:t>sinemet</w:t>
      </w:r>
      <w:proofErr w:type="spellEnd"/>
      <w:r>
        <w:rPr>
          <w:iCs/>
        </w:rPr>
        <w:t xml:space="preserve"> en </w:t>
      </w:r>
      <w:proofErr w:type="spellStart"/>
      <w:r>
        <w:rPr>
          <w:iCs/>
        </w:rPr>
        <w:t>madopar</w:t>
      </w:r>
      <w:proofErr w:type="spellEnd"/>
      <w:r>
        <w:rPr>
          <w:iCs/>
        </w:rPr>
        <w:t xml:space="preserve"> dan bij mensen met Parkinson.</w:t>
      </w:r>
    </w:p>
    <w:p w14:paraId="74F0D54E" w14:textId="41FF124D" w:rsidR="00501B09" w:rsidRDefault="00DF42E8">
      <w:pPr>
        <w:rPr>
          <w:u w:val="single"/>
        </w:rPr>
      </w:pPr>
      <w:r w:rsidRPr="00DF42E8">
        <w:rPr>
          <w:u w:val="single"/>
        </w:rPr>
        <w:t>Vragen en antwoorden</w:t>
      </w:r>
    </w:p>
    <w:p w14:paraId="1A130892" w14:textId="77777777" w:rsidR="00DF42E8" w:rsidRDefault="00DF42E8" w:rsidP="00DF42E8">
      <w:pPr>
        <w:rPr>
          <w:bCs/>
        </w:rPr>
      </w:pPr>
      <w:r w:rsidRPr="009114EE">
        <w:rPr>
          <w:bCs/>
        </w:rPr>
        <w:t>Is de tijd tussen het nemen van de medicatie en eten belangrijk?</w:t>
      </w:r>
    </w:p>
    <w:p w14:paraId="16C98265" w14:textId="27FFAA41" w:rsidR="00DF42E8" w:rsidRDefault="00DF42E8" w:rsidP="00DF42E8">
      <w:pPr>
        <w:rPr>
          <w:bCs/>
        </w:rPr>
      </w:pPr>
      <w:r>
        <w:rPr>
          <w:bCs/>
        </w:rPr>
        <w:t xml:space="preserve">Ja het is belangrijk om niet te eten tussen één uur voor inname van medicatie tot een half uur na de inname. De reden is dat de aanwezigheid van eiwitten in de maag de werking van medicatie tegenwerkt. Tegelijkertijd </w:t>
      </w:r>
      <w:r w:rsidR="00011C57">
        <w:rPr>
          <w:bCs/>
        </w:rPr>
        <w:t>heeft dat in de praktijk ook (sociale) consequenties voor mensen die bijvoorbeeld 5 x per dag medicatie nodig hebben.</w:t>
      </w:r>
    </w:p>
    <w:p w14:paraId="339B982C" w14:textId="5EFD88FE" w:rsidR="00011C57" w:rsidRDefault="00011C57" w:rsidP="00DF42E8">
      <w:pPr>
        <w:rPr>
          <w:bCs/>
        </w:rPr>
      </w:pPr>
      <w:r>
        <w:rPr>
          <w:bCs/>
        </w:rPr>
        <w:t xml:space="preserve">Een van de bijverschijnselen van </w:t>
      </w:r>
      <w:proofErr w:type="spellStart"/>
      <w:r>
        <w:rPr>
          <w:bCs/>
        </w:rPr>
        <w:t>levadopa</w:t>
      </w:r>
      <w:proofErr w:type="spellEnd"/>
      <w:r>
        <w:rPr>
          <w:bCs/>
        </w:rPr>
        <w:t xml:space="preserve"> is misselijkheid. In die gevallen kan de inname van medicatie bij het eten (bijvoorbeeld appelmoes) positief werken.</w:t>
      </w:r>
    </w:p>
    <w:p w14:paraId="073F3321" w14:textId="1E991E15" w:rsidR="00011C57" w:rsidRDefault="00011C57" w:rsidP="00011C57">
      <w:pPr>
        <w:rPr>
          <w:bCs/>
        </w:rPr>
      </w:pPr>
      <w:r w:rsidRPr="009114EE">
        <w:rPr>
          <w:bCs/>
        </w:rPr>
        <w:t>Hoe is de ervaring met het maken van een klein gaatje in de hersenen om het trillen te verminderen?</w:t>
      </w:r>
      <w:r>
        <w:rPr>
          <w:bCs/>
        </w:rPr>
        <w:t xml:space="preserve"> </w:t>
      </w:r>
    </w:p>
    <w:p w14:paraId="3CE5E64D" w14:textId="29BD5EFF" w:rsidR="00011C57" w:rsidRDefault="00011C57" w:rsidP="00011C57">
      <w:pPr>
        <w:rPr>
          <w:bCs/>
        </w:rPr>
      </w:pPr>
      <w:r>
        <w:rPr>
          <w:bCs/>
        </w:rPr>
        <w:t xml:space="preserve">Dr. </w:t>
      </w:r>
      <w:proofErr w:type="spellStart"/>
      <w:r>
        <w:rPr>
          <w:bCs/>
        </w:rPr>
        <w:t>Hoogers</w:t>
      </w:r>
      <w:proofErr w:type="spellEnd"/>
      <w:r>
        <w:rPr>
          <w:bCs/>
        </w:rPr>
        <w:t xml:space="preserve"> vertelt dat deze techniek in het AMC inmiddels wordt toegepast. Er wordt dan een klein gaatje gemaakt in de hersenen om trillen en stijfheid te verminderen. Over het algemeen zijn de ervaringen hiermee bemoedigend.</w:t>
      </w:r>
    </w:p>
    <w:p w14:paraId="42948C5F" w14:textId="2192D7E8" w:rsidR="00011C57" w:rsidRDefault="00011C57" w:rsidP="00011C57">
      <w:pPr>
        <w:rPr>
          <w:bCs/>
        </w:rPr>
      </w:pPr>
      <w:r>
        <w:rPr>
          <w:bCs/>
        </w:rPr>
        <w:t>Hoe merk je of je teveel of juist te weinig pillen neemt?</w:t>
      </w:r>
    </w:p>
    <w:p w14:paraId="37BB6FC2" w14:textId="4C6AECAB" w:rsidR="00011C57" w:rsidRDefault="00011C57" w:rsidP="00011C57">
      <w:pPr>
        <w:rPr>
          <w:bCs/>
        </w:rPr>
      </w:pPr>
      <w:r>
        <w:rPr>
          <w:bCs/>
        </w:rPr>
        <w:t xml:space="preserve">Bij te weinig inname van medicatie neemt de stijfheid vaak toe en bij teveel inname is er juist sprake van </w:t>
      </w:r>
      <w:proofErr w:type="spellStart"/>
      <w:r>
        <w:rPr>
          <w:bCs/>
        </w:rPr>
        <w:t>overbeweeglijkheid</w:t>
      </w:r>
      <w:proofErr w:type="spellEnd"/>
      <w:r>
        <w:rPr>
          <w:bCs/>
        </w:rPr>
        <w:t xml:space="preserve">. </w:t>
      </w:r>
    </w:p>
    <w:p w14:paraId="582442BC" w14:textId="77777777" w:rsidR="00011C57" w:rsidRDefault="00011C57">
      <w:pPr>
        <w:rPr>
          <w:bCs/>
        </w:rPr>
      </w:pPr>
      <w:r>
        <w:rPr>
          <w:bCs/>
        </w:rPr>
        <w:br w:type="page"/>
      </w:r>
    </w:p>
    <w:p w14:paraId="46706C73" w14:textId="0EC28991" w:rsidR="00011C57" w:rsidRDefault="00011C57" w:rsidP="00011C57">
      <w:pPr>
        <w:rPr>
          <w:bCs/>
        </w:rPr>
      </w:pPr>
      <w:r>
        <w:rPr>
          <w:bCs/>
        </w:rPr>
        <w:lastRenderedPageBreak/>
        <w:t>Een van de bezoekers vraagt naar het verloop van de ziekte van Parkinson.</w:t>
      </w:r>
    </w:p>
    <w:p w14:paraId="4A538AC1" w14:textId="2937D884" w:rsidR="00011C57" w:rsidRDefault="00011C57" w:rsidP="00011C57">
      <w:pPr>
        <w:rPr>
          <w:bCs/>
        </w:rPr>
      </w:pPr>
      <w:r>
        <w:rPr>
          <w:bCs/>
        </w:rPr>
        <w:t>Parkinson is een progressieve, voortschrijdende, aandoening. Vaak is de ziekte al 20 jaar voor de diagnose sluimerend. Het verloop van het proces is erg wisselen. Cru gezegd, kun je niet dood gaan aan Parkinson</w:t>
      </w:r>
      <w:r w:rsidR="00CD1BDD">
        <w:rPr>
          <w:bCs/>
        </w:rPr>
        <w:t>. Bij de een verloopt het sneller en grilliger dan bij de ander.</w:t>
      </w:r>
    </w:p>
    <w:p w14:paraId="09BB7AC5" w14:textId="6BE123A7" w:rsidR="00CD1BDD" w:rsidRDefault="00CD1BDD" w:rsidP="00011C57">
      <w:pPr>
        <w:rPr>
          <w:bCs/>
        </w:rPr>
      </w:pPr>
      <w:r>
        <w:rPr>
          <w:bCs/>
        </w:rPr>
        <w:t>Het uitstellen van het innemen van medicijnen, waar nogal eens aan wordt gedacht door mensen die de diagnose (net) hebben gekregen, heeft geen enkele invloed op het verloop van het proces.</w:t>
      </w:r>
    </w:p>
    <w:p w14:paraId="244D0809" w14:textId="00007114" w:rsidR="00CD1BDD" w:rsidRDefault="00CD1BDD" w:rsidP="00011C57">
      <w:pPr>
        <w:rPr>
          <w:bCs/>
        </w:rPr>
      </w:pPr>
      <w:r>
        <w:rPr>
          <w:bCs/>
        </w:rPr>
        <w:t>Een andere vraag is wie er verantwoordelijk is voor het ‘stapelen’ van medicatie (voor verschillende aandoeningen)?</w:t>
      </w:r>
    </w:p>
    <w:p w14:paraId="394D7457" w14:textId="5C85EFE9" w:rsidR="00CD1BDD" w:rsidRDefault="00CD1BDD" w:rsidP="00011C57">
      <w:pPr>
        <w:rPr>
          <w:bCs/>
        </w:rPr>
      </w:pPr>
      <w:r>
        <w:rPr>
          <w:bCs/>
        </w:rPr>
        <w:t>De bewaking daarvan ligt bij apotheek en de huisarts. Afzonderlijke specialisten hebben vaak geen inzage in de medicatie die door andere specialisten wordt voorgeschreven. De regie voor de totale gezondheidssituatie ligt bij de huisarts. Die wordt immers door alle specialisten en apotheken geïnformeerd over ontwikkelingen bij een patiënt.</w:t>
      </w:r>
    </w:p>
    <w:p w14:paraId="6911368C" w14:textId="6B10D496" w:rsidR="00CD1BDD" w:rsidRDefault="00CD1BDD" w:rsidP="00011C57">
      <w:pPr>
        <w:rPr>
          <w:bCs/>
        </w:rPr>
      </w:pPr>
      <w:r>
        <w:rPr>
          <w:bCs/>
        </w:rPr>
        <w:t xml:space="preserve">Ook wordt gevraagd in hoeverre specialisten overleg hebben met de farmaceuten over de -voor mensen die bijvoorbeeld te maken hebben met stijfheid- onhandige verpakkingen van medicijnen. </w:t>
      </w:r>
    </w:p>
    <w:p w14:paraId="63B066AF" w14:textId="0475C79B" w:rsidR="00CD1BDD" w:rsidRDefault="00CD1BDD" w:rsidP="00011C57">
      <w:pPr>
        <w:rPr>
          <w:bCs/>
        </w:rPr>
      </w:pPr>
      <w:r>
        <w:rPr>
          <w:bCs/>
        </w:rPr>
        <w:t xml:space="preserve">Dr. </w:t>
      </w:r>
      <w:proofErr w:type="spellStart"/>
      <w:r>
        <w:rPr>
          <w:bCs/>
        </w:rPr>
        <w:t>Hoogers</w:t>
      </w:r>
      <w:proofErr w:type="spellEnd"/>
      <w:r>
        <w:rPr>
          <w:bCs/>
        </w:rPr>
        <w:t xml:space="preserve"> geeft aan dat dat overleg er niet is en dat het eigenlijk wel zou moeten. [De Parkinson Vereniging is een van de pleitbezorgers voor een patiëntvriendelijke verpakking van medicijnen. Hoe groter hun achterban is, hoe meer gewicht dat in de schaal legt.]</w:t>
      </w:r>
    </w:p>
    <w:p w14:paraId="797EC6F9" w14:textId="4155B62D" w:rsidR="00B23AF1" w:rsidRPr="001B1528" w:rsidRDefault="001B1528">
      <w:pPr>
        <w:rPr>
          <w:bCs/>
          <w:u w:val="single"/>
        </w:rPr>
      </w:pPr>
      <w:r>
        <w:t xml:space="preserve"> </w:t>
      </w:r>
    </w:p>
    <w:sectPr w:rsidR="00B23AF1" w:rsidRPr="001B15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F1"/>
    <w:rsid w:val="00011C57"/>
    <w:rsid w:val="000D572F"/>
    <w:rsid w:val="001B1528"/>
    <w:rsid w:val="00205ACC"/>
    <w:rsid w:val="002D5CA6"/>
    <w:rsid w:val="00501B09"/>
    <w:rsid w:val="00B23AF1"/>
    <w:rsid w:val="00CD1BDD"/>
    <w:rsid w:val="00DF42E8"/>
    <w:rsid w:val="00E744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F3D6F"/>
  <w15:chartTrackingRefBased/>
  <w15:docId w15:val="{4BC55C20-36D6-49BA-AA33-495BBCE74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23A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23A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23A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23A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23A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23AF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3AF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3AF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3AF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3A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23A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23A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23A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23A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23A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3A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3A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3AF1"/>
    <w:rPr>
      <w:rFonts w:eastAsiaTheme="majorEastAsia" w:cstheme="majorBidi"/>
      <w:color w:val="272727" w:themeColor="text1" w:themeTint="D8"/>
    </w:rPr>
  </w:style>
  <w:style w:type="paragraph" w:styleId="Titel">
    <w:name w:val="Title"/>
    <w:basedOn w:val="Standaard"/>
    <w:next w:val="Standaard"/>
    <w:link w:val="TitelChar"/>
    <w:uiPriority w:val="10"/>
    <w:qFormat/>
    <w:rsid w:val="00B23A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3A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3AF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3A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3AF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3AF1"/>
    <w:rPr>
      <w:i/>
      <w:iCs/>
      <w:color w:val="404040" w:themeColor="text1" w:themeTint="BF"/>
    </w:rPr>
  </w:style>
  <w:style w:type="paragraph" w:styleId="Lijstalinea">
    <w:name w:val="List Paragraph"/>
    <w:basedOn w:val="Standaard"/>
    <w:uiPriority w:val="34"/>
    <w:qFormat/>
    <w:rsid w:val="00B23AF1"/>
    <w:pPr>
      <w:ind w:left="720"/>
      <w:contextualSpacing/>
    </w:pPr>
  </w:style>
  <w:style w:type="character" w:styleId="Intensievebenadrukking">
    <w:name w:val="Intense Emphasis"/>
    <w:basedOn w:val="Standaardalinea-lettertype"/>
    <w:uiPriority w:val="21"/>
    <w:qFormat/>
    <w:rsid w:val="00B23AF1"/>
    <w:rPr>
      <w:i/>
      <w:iCs/>
      <w:color w:val="0F4761" w:themeColor="accent1" w:themeShade="BF"/>
    </w:rPr>
  </w:style>
  <w:style w:type="paragraph" w:styleId="Duidelijkcitaat">
    <w:name w:val="Intense Quote"/>
    <w:basedOn w:val="Standaard"/>
    <w:next w:val="Standaard"/>
    <w:link w:val="DuidelijkcitaatChar"/>
    <w:uiPriority w:val="30"/>
    <w:qFormat/>
    <w:rsid w:val="00B23A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23AF1"/>
    <w:rPr>
      <w:i/>
      <w:iCs/>
      <w:color w:val="0F4761" w:themeColor="accent1" w:themeShade="BF"/>
    </w:rPr>
  </w:style>
  <w:style w:type="character" w:styleId="Intensieveverwijzing">
    <w:name w:val="Intense Reference"/>
    <w:basedOn w:val="Standaardalinea-lettertype"/>
    <w:uiPriority w:val="32"/>
    <w:qFormat/>
    <w:rsid w:val="00B23A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671</Words>
  <Characters>3692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Overes</dc:creator>
  <cp:keywords/>
  <dc:description/>
  <cp:lastModifiedBy>Clara Overes</cp:lastModifiedBy>
  <cp:revision>3</cp:revision>
  <dcterms:created xsi:type="dcterms:W3CDTF">2026-02-20T09:38:00Z</dcterms:created>
  <dcterms:modified xsi:type="dcterms:W3CDTF">2026-02-26T14:28:00Z</dcterms:modified>
</cp:coreProperties>
</file>